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Pr="008025B7" w:rsidRDefault="001D4B36" w:rsidP="00D471C4">
      <w:pPr>
        <w:jc w:val="center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bCs/>
          <w:color w:val="221E1F"/>
          <w:sz w:val="28"/>
          <w:szCs w:val="28"/>
        </w:rPr>
        <w:t>МЕТОДОЛОГИЧЕСКИЕ ПОЯСНЕНИЯ</w:t>
      </w:r>
    </w:p>
    <w:p w14:paraId="4126B39D" w14:textId="77777777" w:rsidR="0002126E" w:rsidRPr="008025B7" w:rsidRDefault="0002126E" w:rsidP="00021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1E1F"/>
          <w:sz w:val="28"/>
          <w:szCs w:val="28"/>
        </w:rPr>
      </w:pPr>
    </w:p>
    <w:p w14:paraId="106E16D9" w14:textId="2DF6841A" w:rsidR="001D4B36" w:rsidRPr="008025B7" w:rsidRDefault="001D4B36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г.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№</w:t>
      </w:r>
      <w:r w:rsidR="00467365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 w:rsidRPr="008025B7">
        <w:rPr>
          <w:rFonts w:ascii="Times New Roman" w:hAnsi="Times New Roman" w:cs="Times New Roman"/>
          <w:sz w:val="28"/>
          <w:szCs w:val="28"/>
        </w:rPr>
        <w:t xml:space="preserve"> </w:t>
      </w:r>
      <w:r w:rsidRPr="008025B7">
        <w:rPr>
          <w:rFonts w:ascii="Times New Roman" w:hAnsi="Times New Roman" w:cs="Times New Roman"/>
          <w:sz w:val="28"/>
          <w:szCs w:val="28"/>
        </w:rPr>
        <w:t xml:space="preserve">1998). </w:t>
      </w:r>
    </w:p>
    <w:p w14:paraId="6A6F4392" w14:textId="10BA09BF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8025B7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состоянию на момент учета населения – </w:t>
      </w:r>
      <w:r w:rsidRPr="008025B7">
        <w:rPr>
          <w:rFonts w:ascii="Times New Roman" w:hAnsi="Times New Roman" w:cs="Times New Roman"/>
          <w:b/>
          <w:sz w:val="28"/>
          <w:szCs w:val="28"/>
        </w:rPr>
        <w:t>0 часов 1 октября 2021 года</w:t>
      </w:r>
      <w:r w:rsidRPr="008025B7">
        <w:rPr>
          <w:rFonts w:ascii="Times New Roman" w:hAnsi="Times New Roman" w:cs="Times New Roman"/>
          <w:sz w:val="28"/>
          <w:szCs w:val="28"/>
        </w:rPr>
        <w:t>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другое). </w:t>
      </w:r>
    </w:p>
    <w:p w14:paraId="49801AFB" w14:textId="1B3258F6" w:rsidR="001D4B36" w:rsidRPr="008025B7" w:rsidRDefault="001D4B36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</w:t>
      </w:r>
      <w:r w:rsidR="004F3EF6" w:rsidRPr="008025B7">
        <w:rPr>
          <w:rFonts w:ascii="Times New Roman" w:hAnsi="Times New Roman" w:cs="Times New Roman"/>
          <w:sz w:val="28"/>
          <w:szCs w:val="28"/>
        </w:rPr>
        <w:t>.</w:t>
      </w:r>
      <w:r w:rsidRPr="008025B7">
        <w:rPr>
          <w:rFonts w:ascii="Times New Roman" w:hAnsi="Times New Roman" w:cs="Times New Roman"/>
          <w:sz w:val="28"/>
          <w:szCs w:val="28"/>
        </w:rPr>
        <w:t xml:space="preserve">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 </w:t>
      </w:r>
    </w:p>
    <w:p w14:paraId="2AE16530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8025B7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</w:p>
    <w:p w14:paraId="1DD4EB20" w14:textId="46EB70C2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lastRenderedPageBreak/>
        <w:t>лица, постоянно проживающие в России и временно выехавшие за рубеж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постоянно проживающие в России моряки российских рыболовных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российские и иностранные граждане и лица без гражданства, прибывшие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Россию из-за рубежа на постоянное жительство или ищущие убежище, включая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российские и иностранные граждане и лица без гражданства, прибывшие в 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Россию из-за рубежа на учебу, работу или с другой целью на срок один год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более (независимо от того, сколько времени они пробыли в стране и сколько им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осталось находиться в России). </w:t>
      </w:r>
    </w:p>
    <w:p w14:paraId="33AFA647" w14:textId="3F80FD81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учебу или работу на срок менее 1 года, прибывшие независимо от срока на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Бездомные учтены в том месте, где их застала перепись. </w:t>
      </w:r>
    </w:p>
    <w:p w14:paraId="0705C48F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Не учитывались при переписи населения: </w:t>
      </w:r>
    </w:p>
    <w:p w14:paraId="03525F18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российские граждане, выехавшие за рубеж на работу по контрактам с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>российскими или иностранными фирмами или учебу на срок один год и более (независимо от того, когда они выехали и сколько им осталось находиться за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рубежом); </w:t>
      </w:r>
    </w:p>
    <w:p w14:paraId="2959745B" w14:textId="37D1F12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семей; </w:t>
      </w:r>
    </w:p>
    <w:p w14:paraId="67D18FE1" w14:textId="5A0C95A1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иностранные граждане, работающие на территории России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представительствах международных организаций; </w:t>
      </w:r>
    </w:p>
    <w:p w14:paraId="6D898A9B" w14:textId="1EBF8918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>иностранные граждане, являющиеся членами делегаций правительств и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законодательных органов своих государств. </w:t>
      </w:r>
    </w:p>
    <w:p w14:paraId="2B803518" w14:textId="3456D354" w:rsidR="001D4B36" w:rsidRPr="008025B7" w:rsidRDefault="001D4B36" w:rsidP="003A73D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sz w:val="28"/>
          <w:szCs w:val="28"/>
        </w:rPr>
        <w:t xml:space="preserve">Население переписано </w:t>
      </w:r>
      <w:r w:rsidRPr="008025B7">
        <w:rPr>
          <w:rFonts w:ascii="Times New Roman" w:hAnsi="Times New Roman" w:cs="Times New Roman"/>
          <w:b/>
          <w:sz w:val="28"/>
          <w:szCs w:val="28"/>
        </w:rPr>
        <w:t>по месту своего постоянного (обычного) жительства</w:t>
      </w:r>
      <w:r w:rsidRPr="008025B7">
        <w:rPr>
          <w:rFonts w:ascii="Times New Roman" w:hAnsi="Times New Roman" w:cs="Times New Roman"/>
          <w:sz w:val="28"/>
          <w:szCs w:val="28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 w:rsidRPr="008025B7">
        <w:rPr>
          <w:rFonts w:ascii="Times New Roman" w:hAnsi="Times New Roman" w:cs="Times New Roman"/>
          <w:sz w:val="28"/>
          <w:szCs w:val="28"/>
        </w:rPr>
        <w:t xml:space="preserve"> 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б) индивидуальный (одноквартирный) дом (изба, сторожка, коттедж или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другое одноквартирное строение); </w:t>
      </w:r>
    </w:p>
    <w:p w14:paraId="501E2A42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в) комната в общежитии (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неквартирного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типа); </w:t>
      </w:r>
    </w:p>
    <w:p w14:paraId="304808F5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д) любое другое помещение, приспособленное для жилья (вагончик, бытовка, 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хозблок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, баржа и т.п.); </w:t>
      </w:r>
    </w:p>
    <w:p w14:paraId="65B72BA1" w14:textId="35989C83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е) палата, отделение и др. (в зависимости от того, как ведется учет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больницах для больных с хроническими заболеваниями и т.п.), в казармах, местах заключения, религиозных организациях. </w:t>
      </w:r>
    </w:p>
    <w:p w14:paraId="3F11BB6C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отметкой о временном отсутствии. </w:t>
      </w:r>
    </w:p>
    <w:p w14:paraId="7E2D667F" w14:textId="527C96AE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2) Граждане России, выехавшие в длительные служебные командировки (на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месту их нахождения. Численность этой категории населения представлена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таблице 1 тома 1. </w:t>
      </w:r>
    </w:p>
    <w:p w14:paraId="2EC2112C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4) Лица, призванные на военно-учебный сбор, переписывались дома вместе с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5) Военнослужащие, проходившие военную службу по контракту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проживавшие на открытой территории, переписывались вместе с членами их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домохозяйств в общем порядке. </w:t>
      </w:r>
    </w:p>
    <w:p w14:paraId="581BD917" w14:textId="65298F19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6) Военнослужащие, проходившие военную службу по призыву или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контракту и проживавшие на закрытой территории, переписывались по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месту их нахождения. </w:t>
      </w:r>
    </w:p>
    <w:p w14:paraId="3F6420BF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</w:p>
    <w:p w14:paraId="7F490D9C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своего постоянного (обычного) жительства с отметкой о временном отсутствии. </w:t>
      </w:r>
    </w:p>
    <w:p w14:paraId="309C0BCA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иностранными организациями (кроме иностранных граждан, работавших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</w:p>
    <w:p w14:paraId="134C40E6" w14:textId="076ED3E3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12) Лица (независимо от их гражданства), прибывшие из зарубежных стран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застала перепись. </w:t>
      </w:r>
    </w:p>
    <w:p w14:paraId="6F627538" w14:textId="0E69A8A5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13) В гостиницах, больницах, домах отдыха, санаториях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т.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п.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8025B7" w:rsidRDefault="001D4B36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Все перечисленные категории населения (кроме категории, указанной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8025B7" w:rsidRDefault="001D4B36" w:rsidP="003A73D8">
      <w:pPr>
        <w:pStyle w:val="Default"/>
        <w:spacing w:after="24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 численность населения, временно находившегося на территории России на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дату</w:t>
      </w:r>
      <w:r w:rsidR="0002126E"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="0002126E"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гости к родственникам или знакомым, а также транзитные мигранты. </w:t>
      </w:r>
    </w:p>
    <w:p w14:paraId="3EDA1528" w14:textId="77777777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Программа Всероссийской переписи населения 2020 года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вопросов для лиц, временно находившихся на территории Российской Федерации. </w:t>
      </w:r>
    </w:p>
    <w:p w14:paraId="4F6A66B6" w14:textId="77777777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пользования языками, источников средств к существованию,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Метод переписи.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жителях, не переписавшихся на ЕПГУ. </w:t>
      </w:r>
    </w:p>
    <w:p w14:paraId="1E052374" w14:textId="51CFEC48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Вопросы задавались населению в той формулировке, которая дана в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переписных листах. Запись сведений в переписные листы производилась со слов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8025B7" w:rsidRDefault="0002126E" w:rsidP="003A73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Контрольные мероприятия.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постоянно проживающим за рубежом. </w:t>
      </w:r>
    </w:p>
    <w:p w14:paraId="20AD918D" w14:textId="0B8A02D6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правильности переписи. Люди, пропущенные в ходе переписи и выявленные во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0C16F47D" w:rsidR="0002126E" w:rsidRPr="008025B7" w:rsidRDefault="0002126E" w:rsidP="003A73D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Итоги переписи.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Данные переписи населения 2020 года, полученные на</w:t>
      </w:r>
      <w:r w:rsidR="0046108B" w:rsidRPr="008025B7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</w:t>
      </w:r>
      <w:r w:rsidRPr="008025B7">
        <w:rPr>
          <w:rFonts w:ascii="Times New Roman" w:hAnsi="Times New Roman" w:cs="Times New Roman"/>
          <w:sz w:val="28"/>
          <w:szCs w:val="28"/>
        </w:rPr>
        <w:t>население). Только в</w:t>
      </w:r>
      <w:r w:rsidR="0046108B" w:rsidRPr="008025B7">
        <w:rPr>
          <w:rFonts w:ascii="Times New Roman" w:hAnsi="Times New Roman" w:cs="Times New Roman"/>
          <w:sz w:val="28"/>
          <w:szCs w:val="28"/>
        </w:rPr>
        <w:t> </w:t>
      </w:r>
      <w:r w:rsidRPr="008025B7">
        <w:rPr>
          <w:rFonts w:ascii="Times New Roman" w:hAnsi="Times New Roman" w:cs="Times New Roman"/>
          <w:sz w:val="28"/>
          <w:szCs w:val="28"/>
        </w:rPr>
        <w:t xml:space="preserve">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 </w:t>
      </w:r>
    </w:p>
    <w:p w14:paraId="27A81248" w14:textId="14319654" w:rsidR="00652637" w:rsidRDefault="00652637" w:rsidP="0065263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75D2266D" w14:textId="77777777" w:rsidR="00652637" w:rsidRPr="00847465" w:rsidRDefault="00652637" w:rsidP="00652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Pr="001E21E3">
        <w:rPr>
          <w:rFonts w:ascii="Times New Roman" w:hAnsi="Times New Roman" w:cs="Times New Roman"/>
          <w:b/>
          <w:sz w:val="28"/>
          <w:szCs w:val="28"/>
        </w:rPr>
        <w:t>ражданств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47465">
        <w:rPr>
          <w:rFonts w:ascii="Times New Roman" w:hAnsi="Times New Roman" w:cs="Times New Roman"/>
          <w:sz w:val="28"/>
          <w:szCs w:val="28"/>
        </w:rPr>
        <w:t xml:space="preserve">. Данные о распределении населения по гражданству получены на основе ответов на вопрос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47465">
        <w:rPr>
          <w:rFonts w:ascii="Times New Roman" w:hAnsi="Times New Roman" w:cs="Times New Roman"/>
          <w:sz w:val="28"/>
          <w:szCs w:val="28"/>
        </w:rPr>
        <w:t xml:space="preserve"> переписного листа формы Л. Гражданство детей в возрасте до 14 лет определяли </w:t>
      </w:r>
      <w:r>
        <w:rPr>
          <w:rFonts w:ascii="Times New Roman" w:hAnsi="Times New Roman" w:cs="Times New Roman"/>
          <w:sz w:val="28"/>
          <w:szCs w:val="28"/>
        </w:rPr>
        <w:t>родители. Если респондент имел помимо</w:t>
      </w:r>
      <w:r w:rsidRPr="00847465">
        <w:rPr>
          <w:rFonts w:ascii="Times New Roman" w:hAnsi="Times New Roman" w:cs="Times New Roman"/>
          <w:sz w:val="28"/>
          <w:szCs w:val="28"/>
        </w:rPr>
        <w:t xml:space="preserve"> гражданств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7465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гражданство </w:t>
      </w:r>
      <w:r w:rsidRPr="00847465">
        <w:rPr>
          <w:rFonts w:ascii="Times New Roman" w:hAnsi="Times New Roman" w:cs="Times New Roman"/>
          <w:sz w:val="28"/>
          <w:szCs w:val="28"/>
        </w:rPr>
        <w:t>другого государства, то учитывались оба гражданства. Для тех, кто имел два гражданства иностранных государств, при переписи учитывалось только одно из них на выбор опрашиваемого.</w:t>
      </w:r>
    </w:p>
    <w:p w14:paraId="1A190E60" w14:textId="77777777" w:rsidR="00652637" w:rsidRPr="00A72CA1" w:rsidRDefault="00652637" w:rsidP="006526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таблицах приводится распределение населения по гражданству и возрастным группам. </w:t>
      </w:r>
      <w:r w:rsidRPr="00A72CA1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 xml:space="preserve">е о </w:t>
      </w:r>
      <w:r w:rsidRPr="00BE49C5">
        <w:rPr>
          <w:rFonts w:ascii="Times New Roman" w:hAnsi="Times New Roman" w:cs="Times New Roman"/>
          <w:b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получены на основе </w:t>
      </w:r>
      <w:r w:rsidRPr="00A72CA1">
        <w:rPr>
          <w:rFonts w:ascii="Times New Roman" w:hAnsi="Times New Roman" w:cs="Times New Roman"/>
          <w:sz w:val="28"/>
          <w:szCs w:val="28"/>
        </w:rPr>
        <w:t>ответов на вопро</w:t>
      </w:r>
      <w:r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A72CA1">
        <w:rPr>
          <w:rFonts w:ascii="Times New Roman" w:hAnsi="Times New Roman" w:cs="Times New Roman"/>
          <w:sz w:val="28"/>
          <w:szCs w:val="28"/>
        </w:rPr>
        <w:t>дате рожде</w:t>
      </w:r>
      <w:r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A72CA1">
        <w:rPr>
          <w:rFonts w:ascii="Times New Roman" w:hAnsi="Times New Roman" w:cs="Times New Roman"/>
          <w:sz w:val="28"/>
          <w:szCs w:val="28"/>
        </w:rPr>
        <w:t>автома</w:t>
      </w:r>
      <w:r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>
        <w:rPr>
          <w:rFonts w:ascii="Times New Roman" w:hAnsi="Times New Roman" w:cs="Times New Roman"/>
          <w:sz w:val="28"/>
          <w:szCs w:val="28"/>
        </w:rPr>
        <w:t xml:space="preserve">Вопрос о дате рождения был обязательным для заполнения всеми респондентами, поэтому в таблицах отсутствует группа «Возраст не указан». </w:t>
      </w:r>
    </w:p>
    <w:p w14:paraId="4E492635" w14:textId="77777777" w:rsidR="00652637" w:rsidRDefault="00652637" w:rsidP="00652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E4999">
        <w:rPr>
          <w:rFonts w:ascii="Times New Roman" w:hAnsi="Times New Roman" w:cs="Times New Roman"/>
          <w:sz w:val="28"/>
          <w:szCs w:val="28"/>
        </w:rPr>
        <w:t>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72CA1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предыдущей Всероссийской переписью населения 2010 года изменились законодательно установленные  границы возраста, </w:t>
      </w:r>
      <w:r w:rsidRPr="000D4055">
        <w:rPr>
          <w:rFonts w:ascii="Times New Roman" w:hAnsi="Times New Roman" w:cs="Times New Roman"/>
          <w:sz w:val="28"/>
          <w:szCs w:val="28"/>
        </w:rPr>
        <w:t>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верхняя граница</w:t>
      </w:r>
      <w:r w:rsidRPr="00A72CA1">
        <w:rPr>
          <w:rFonts w:ascii="Times New Roman" w:hAnsi="Times New Roman" w:cs="Times New Roman"/>
          <w:sz w:val="28"/>
          <w:szCs w:val="28"/>
        </w:rPr>
        <w:t xml:space="preserve"> трудоспособного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составляла соответственно</w:t>
      </w:r>
      <w:r w:rsidRPr="000D4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мужчин 61,5 лет и для женщин </w:t>
      </w:r>
      <w:r w:rsidRPr="00A72C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6,5 лет. Таким образом, на дату переписи используются следующие возрастные интервалы: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652637" w14:paraId="03A4BDEC" w14:textId="77777777" w:rsidTr="00661105">
        <w:tc>
          <w:tcPr>
            <w:tcW w:w="2633" w:type="dxa"/>
          </w:tcPr>
          <w:p w14:paraId="674B94F8" w14:textId="77777777" w:rsidR="00652637" w:rsidRDefault="00652637" w:rsidP="006611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14:paraId="599EE681" w14:textId="77777777" w:rsidR="00652637" w:rsidRDefault="00652637" w:rsidP="0066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14:paraId="3FFDB8BB" w14:textId="77777777" w:rsidR="00652637" w:rsidRDefault="00652637" w:rsidP="0066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652637" w14:paraId="1324EDA4" w14:textId="77777777" w:rsidTr="00661105">
        <w:tc>
          <w:tcPr>
            <w:tcW w:w="2633" w:type="dxa"/>
          </w:tcPr>
          <w:p w14:paraId="6216ADFF" w14:textId="77777777" w:rsidR="00652637" w:rsidRDefault="00652637" w:rsidP="0066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14:paraId="1B1DF05F" w14:textId="77777777" w:rsidR="00652637" w:rsidRDefault="00652637" w:rsidP="0066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14:paraId="669B3318" w14:textId="77777777" w:rsidR="00652637" w:rsidRPr="00072E63" w:rsidRDefault="00652637" w:rsidP="0066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14:paraId="6B03FD9A" w14:textId="77777777" w:rsidR="00652637" w:rsidRPr="00072E63" w:rsidRDefault="00652637" w:rsidP="0066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652637" w14:paraId="6BA61F8C" w14:textId="77777777" w:rsidTr="00661105">
        <w:tc>
          <w:tcPr>
            <w:tcW w:w="2633" w:type="dxa"/>
          </w:tcPr>
          <w:p w14:paraId="0ABD6740" w14:textId="77777777" w:rsidR="00652637" w:rsidRDefault="00652637" w:rsidP="0066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14:paraId="1F2EBE58" w14:textId="77777777" w:rsidR="00652637" w:rsidRDefault="00652637" w:rsidP="0066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14:paraId="5F49035E" w14:textId="77777777" w:rsidR="00652637" w:rsidRPr="00072E63" w:rsidRDefault="00652637" w:rsidP="0066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14:paraId="0F131F58" w14:textId="77777777" w:rsidR="00652637" w:rsidRPr="00072E63" w:rsidRDefault="00652637" w:rsidP="00661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14:paraId="5F1540FB" w14:textId="77777777" w:rsidR="00652637" w:rsidRDefault="00652637" w:rsidP="006526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8E3B30" w14:textId="01F604C7" w:rsidR="0002126E" w:rsidRPr="008025B7" w:rsidRDefault="0002126E" w:rsidP="005418D2">
      <w:pPr>
        <w:spacing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b/>
          <w:color w:val="221E1F"/>
          <w:sz w:val="28"/>
          <w:szCs w:val="28"/>
        </w:rPr>
        <w:t>Городское и сельское население.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lastRenderedPageBreak/>
        <w:t>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14:paraId="5621EFCD" w14:textId="53E686ED" w:rsidR="00060B5C" w:rsidRPr="008025B7" w:rsidRDefault="003A73D8" w:rsidP="003A73D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221E1F"/>
          <w:sz w:val="28"/>
          <w:szCs w:val="28"/>
        </w:rPr>
      </w:pPr>
      <w:r w:rsidRPr="008025B7">
        <w:rPr>
          <w:rFonts w:ascii="Times New Roman" w:hAnsi="Times New Roman" w:cs="Times New Roman"/>
          <w:color w:val="221E1F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Саратовской области по состоянию на 1 октября 2021 года. Данные по муниципальному образованию «Город Саратов» приводятся в границах, утвержденных Законом Саратовской области от 23.12.2004  №79-ЗСО «О городских округах» (в</w:t>
      </w:r>
      <w:r w:rsidR="00D74A5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редакции от 02.04.2021) с учетом присоединения сельских поселений Багаевского, Красный Текстильщик, 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Синеньского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 xml:space="preserve">, </w:t>
      </w:r>
      <w:proofErr w:type="spellStart"/>
      <w:r w:rsidRPr="008025B7">
        <w:rPr>
          <w:rFonts w:ascii="Times New Roman" w:hAnsi="Times New Roman" w:cs="Times New Roman"/>
          <w:color w:val="221E1F"/>
          <w:sz w:val="28"/>
          <w:szCs w:val="28"/>
        </w:rPr>
        <w:t>Рыбушанского</w:t>
      </w:r>
      <w:proofErr w:type="spellEnd"/>
      <w:r w:rsidRPr="008025B7">
        <w:rPr>
          <w:rFonts w:ascii="Times New Roman" w:hAnsi="Times New Roman" w:cs="Times New Roman"/>
          <w:color w:val="221E1F"/>
          <w:sz w:val="28"/>
          <w:szCs w:val="28"/>
        </w:rPr>
        <w:t>; по Саратовскому муниципальному району – в границах, утвержденных  Законом  Саратовской области  от 29.12.2004  №113-ЗСО «О муниципальных образованиях, входящих в состав Саратовского муниципального района» (в</w:t>
      </w:r>
      <w:r w:rsidR="00D74A5B">
        <w:rPr>
          <w:rFonts w:ascii="Times New Roman" w:hAnsi="Times New Roman" w:cs="Times New Roman"/>
          <w:color w:val="221E1F"/>
          <w:sz w:val="28"/>
          <w:szCs w:val="28"/>
        </w:rPr>
        <w:t> </w:t>
      </w:r>
      <w:r w:rsidRPr="008025B7">
        <w:rPr>
          <w:rFonts w:ascii="Times New Roman" w:hAnsi="Times New Roman" w:cs="Times New Roman"/>
          <w:color w:val="221E1F"/>
          <w:sz w:val="28"/>
          <w:szCs w:val="28"/>
        </w:rPr>
        <w:t>редакции от 02.04.2021).</w:t>
      </w:r>
    </w:p>
    <w:p w14:paraId="744E2D17" w14:textId="7BAE13D9" w:rsidR="00060B5C" w:rsidRPr="008025B7" w:rsidRDefault="00060B5C" w:rsidP="003A73D8">
      <w:pPr>
        <w:spacing w:line="276" w:lineRule="auto"/>
        <w:rPr>
          <w:rFonts w:ascii="Times New Roman" w:hAnsi="Times New Roman" w:cs="Times New Roman"/>
          <w:color w:val="221E1F"/>
          <w:sz w:val="28"/>
          <w:szCs w:val="28"/>
        </w:rPr>
      </w:pPr>
    </w:p>
    <w:sectPr w:rsidR="00060B5C" w:rsidRPr="008025B7" w:rsidSect="009B6B03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6ABA" w14:textId="77777777" w:rsidR="008025B7" w:rsidRDefault="008025B7" w:rsidP="009B6B03">
      <w:pPr>
        <w:spacing w:after="0" w:line="240" w:lineRule="auto"/>
      </w:pPr>
      <w:r>
        <w:separator/>
      </w:r>
    </w:p>
  </w:endnote>
  <w:endnote w:type="continuationSeparator" w:id="0">
    <w:p w14:paraId="099EE2F5" w14:textId="77777777" w:rsidR="008025B7" w:rsidRDefault="008025B7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2039" w14:textId="77777777" w:rsidR="008025B7" w:rsidRDefault="008025B7" w:rsidP="009B6B03">
      <w:pPr>
        <w:spacing w:after="0" w:line="240" w:lineRule="auto"/>
      </w:pPr>
      <w:r>
        <w:separator/>
      </w:r>
    </w:p>
  </w:footnote>
  <w:footnote w:type="continuationSeparator" w:id="0">
    <w:p w14:paraId="62D07028" w14:textId="77777777" w:rsidR="008025B7" w:rsidRDefault="008025B7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8025B7" w:rsidRDefault="008025B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51F">
          <w:rPr>
            <w:noProof/>
          </w:rPr>
          <w:t>7</w:t>
        </w:r>
        <w:r>
          <w:fldChar w:fldCharType="end"/>
        </w:r>
      </w:p>
    </w:sdtContent>
  </w:sdt>
  <w:p w14:paraId="1007C190" w14:textId="77777777" w:rsidR="008025B7" w:rsidRDefault="008025B7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F49A4"/>
    <w:rsid w:val="00171F44"/>
    <w:rsid w:val="001909AD"/>
    <w:rsid w:val="001B51BB"/>
    <w:rsid w:val="001D4B36"/>
    <w:rsid w:val="00200918"/>
    <w:rsid w:val="00256047"/>
    <w:rsid w:val="00263203"/>
    <w:rsid w:val="002834CC"/>
    <w:rsid w:val="002A08D0"/>
    <w:rsid w:val="002B26C8"/>
    <w:rsid w:val="003A73D8"/>
    <w:rsid w:val="003E572D"/>
    <w:rsid w:val="0046108B"/>
    <w:rsid w:val="00467365"/>
    <w:rsid w:val="004F3EF6"/>
    <w:rsid w:val="005307CF"/>
    <w:rsid w:val="005418D2"/>
    <w:rsid w:val="00652637"/>
    <w:rsid w:val="006A06E2"/>
    <w:rsid w:val="007950C1"/>
    <w:rsid w:val="008025B7"/>
    <w:rsid w:val="008E751F"/>
    <w:rsid w:val="008F1051"/>
    <w:rsid w:val="009B6B03"/>
    <w:rsid w:val="009C3AD2"/>
    <w:rsid w:val="00A562A8"/>
    <w:rsid w:val="00A97E37"/>
    <w:rsid w:val="00B659DF"/>
    <w:rsid w:val="00BA4F3D"/>
    <w:rsid w:val="00BC55F8"/>
    <w:rsid w:val="00C819AF"/>
    <w:rsid w:val="00CA6849"/>
    <w:rsid w:val="00D471C4"/>
    <w:rsid w:val="00D726BA"/>
    <w:rsid w:val="00D74A5B"/>
    <w:rsid w:val="00DD0ECB"/>
    <w:rsid w:val="00E057D8"/>
    <w:rsid w:val="00E10611"/>
    <w:rsid w:val="00EA56EE"/>
    <w:rsid w:val="00F167FC"/>
    <w:rsid w:val="00F444C3"/>
    <w:rsid w:val="00F5756B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3A73D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  <w:style w:type="table" w:styleId="af3">
    <w:name w:val="Table Grid"/>
    <w:basedOn w:val="a1"/>
    <w:uiPriority w:val="39"/>
    <w:rsid w:val="003A73D8"/>
    <w:pPr>
      <w:spacing w:after="0" w:line="240" w:lineRule="auto"/>
    </w:pPr>
    <w:rPr>
      <w:rFonts w:ascii="Calibri" w:eastAsia="Calibri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Виктория Сергеевна С</cp:lastModifiedBy>
  <cp:revision>31</cp:revision>
  <cp:lastPrinted>2022-11-11T06:27:00Z</cp:lastPrinted>
  <dcterms:created xsi:type="dcterms:W3CDTF">2022-07-06T11:10:00Z</dcterms:created>
  <dcterms:modified xsi:type="dcterms:W3CDTF">2022-12-01T07:25:00Z</dcterms:modified>
</cp:coreProperties>
</file>